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B5" w:rsidRDefault="009A05B5" w:rsidP="009A05B5">
      <w:pPr>
        <w:pStyle w:val="2"/>
      </w:pPr>
      <w:r>
        <w:t xml:space="preserve">Перечень экзаменационных вопросов </w:t>
      </w:r>
    </w:p>
    <w:p w:rsidR="009A05B5" w:rsidRDefault="009A05B5" w:rsidP="009A05B5">
      <w:pPr>
        <w:tabs>
          <w:tab w:val="left" w:pos="567"/>
        </w:tabs>
        <w:jc w:val="center"/>
        <w:rPr>
          <w:b/>
          <w:sz w:val="28"/>
        </w:rPr>
      </w:pP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>Энергетические характеристики различных методов исследования. Чу</w:t>
      </w:r>
      <w:r>
        <w:t>в</w:t>
      </w:r>
      <w:r>
        <w:t>ствительность и разрешающая способность. Характеристическое время ме</w:t>
      </w:r>
      <w:r>
        <w:softHyphen/>
        <w:t>тода.</w:t>
      </w:r>
    </w:p>
    <w:p w:rsidR="009A05B5" w:rsidRDefault="009A05B5" w:rsidP="009A05B5">
      <w:pPr>
        <w:numPr>
          <w:ilvl w:val="0"/>
          <w:numId w:val="1"/>
        </w:numPr>
        <w:ind w:hanging="585"/>
        <w:jc w:val="both"/>
        <w:rPr>
          <w:sz w:val="28"/>
        </w:rPr>
      </w:pPr>
      <w:r>
        <w:rPr>
          <w:sz w:val="28"/>
        </w:rPr>
        <w:t>Основные квантовые законы.  Поглощение, испускание, рассеяние света. Правила отбора.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  <w:rPr>
          <w:rFonts w:ascii="Arial" w:hAnsi="Arial"/>
        </w:rPr>
      </w:pPr>
      <w:r>
        <w:t>Блок-схема приборов эмиссионного анализа. Характеристика основных элементов.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Методы возбуждения эмиссионных спектров.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Правила отбора во вращательных спектрах.  Определение геометрич</w:t>
      </w:r>
      <w:r>
        <w:rPr>
          <w:sz w:val="28"/>
        </w:rPr>
        <w:t>е</w:t>
      </w:r>
      <w:r>
        <w:rPr>
          <w:sz w:val="28"/>
        </w:rPr>
        <w:t>ских параметров молекулы.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Вращательные спектры комбинационного рассеяния.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Аппаратура спектроскопии комбинационного рассеяния.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 xml:space="preserve">Абсорбция света. Закон </w:t>
      </w:r>
      <w:proofErr w:type="spellStart"/>
      <w:r>
        <w:rPr>
          <w:sz w:val="28"/>
        </w:rPr>
        <w:t>Бугера</w:t>
      </w:r>
      <w:proofErr w:type="spellEnd"/>
      <w:r>
        <w:rPr>
          <w:sz w:val="28"/>
        </w:rPr>
        <w:t>-Ламберта-</w:t>
      </w:r>
      <w:proofErr w:type="spellStart"/>
      <w:r>
        <w:rPr>
          <w:sz w:val="28"/>
        </w:rPr>
        <w:t>Бера</w:t>
      </w:r>
      <w:proofErr w:type="spellEnd"/>
      <w:r>
        <w:rPr>
          <w:sz w:val="28"/>
        </w:rPr>
        <w:t>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>Фундаментальные, обертонные и составные частоты. Условия оптич</w:t>
      </w:r>
      <w:r>
        <w:t>е</w:t>
      </w:r>
      <w:r>
        <w:t>ской активности колебаний.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 xml:space="preserve">Колебательные спектры. Возможности метода </w:t>
      </w:r>
      <w:proofErr w:type="gramStart"/>
      <w:r>
        <w:t>ИК-спектроскопии</w:t>
      </w:r>
      <w:proofErr w:type="gramEnd"/>
      <w:r>
        <w:t>. Уровни энергии, их классификация.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 xml:space="preserve">Техника </w:t>
      </w:r>
      <w:proofErr w:type="gramStart"/>
      <w:r>
        <w:t>ИК-спектроскопии</w:t>
      </w:r>
      <w:proofErr w:type="gramEnd"/>
      <w:r>
        <w:t>. Аппаратура, прозрачные материалы, приг</w:t>
      </w:r>
      <w:r>
        <w:t>о</w:t>
      </w:r>
      <w:r>
        <w:t>товление образцов.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>Применение методов колебательной спектроскопии для качественного и количественного анализа.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Достоинства и недостатки методов ИКС и КРС.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>Применение электронных спектров поглощения в качественном, стру</w:t>
      </w:r>
      <w:r>
        <w:t>к</w:t>
      </w:r>
      <w:r>
        <w:t>турном и количественном анализах.</w:t>
      </w:r>
    </w:p>
    <w:p w:rsidR="009A05B5" w:rsidRDefault="009A05B5" w:rsidP="009A05B5">
      <w:pPr>
        <w:numPr>
          <w:ilvl w:val="0"/>
          <w:numId w:val="1"/>
        </w:numPr>
        <w:ind w:hanging="585"/>
        <w:jc w:val="both"/>
        <w:rPr>
          <w:sz w:val="28"/>
        </w:rPr>
      </w:pPr>
      <w:r>
        <w:rPr>
          <w:sz w:val="28"/>
        </w:rPr>
        <w:t xml:space="preserve">Техника метода абсорбционной спектроскопии в видимой области и в </w:t>
      </w:r>
      <w:proofErr w:type="gramStart"/>
      <w:r>
        <w:rPr>
          <w:sz w:val="28"/>
        </w:rPr>
        <w:t>УФ-области</w:t>
      </w:r>
      <w:proofErr w:type="gramEnd"/>
      <w:r>
        <w:rPr>
          <w:sz w:val="28"/>
        </w:rPr>
        <w:t>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>Физические основы явлений магнитного резонанса. Спины и магнитные моменты ядер и электронов, g-фактор.</w:t>
      </w:r>
    </w:p>
    <w:p w:rsidR="009A05B5" w:rsidRDefault="009A05B5" w:rsidP="009A05B5">
      <w:pPr>
        <w:numPr>
          <w:ilvl w:val="0"/>
          <w:numId w:val="1"/>
        </w:numPr>
        <w:ind w:hanging="585"/>
        <w:jc w:val="both"/>
        <w:rPr>
          <w:sz w:val="28"/>
        </w:rPr>
      </w:pPr>
      <w:r>
        <w:rPr>
          <w:sz w:val="28"/>
        </w:rPr>
        <w:t>Снятие вырождения спиновых состояний в  постоянном  магнитном п</w:t>
      </w:r>
      <w:r>
        <w:rPr>
          <w:sz w:val="28"/>
        </w:rPr>
        <w:t>о</w:t>
      </w:r>
      <w:r>
        <w:rPr>
          <w:sz w:val="28"/>
        </w:rPr>
        <w:t>ле. Условие ЭПР.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Анизотропия g-фактора. Спин-орбитальная связь.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>Заселенность уровней энергии и релаксационные процессы в ЭПР-спек-</w:t>
      </w:r>
      <w:proofErr w:type="spellStart"/>
      <w:r>
        <w:t>троскопии</w:t>
      </w:r>
      <w:proofErr w:type="spellEnd"/>
      <w:r>
        <w:t>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>Сверхтонкое расщепление сигнала ЭПР при взаимодействии электрона с одним и несколькими ядрами. Константа СТС.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Форма и ширина линии ЭПР.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Блок-схема ЭПР-спектрометра.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>Условие ЯМР. Релаксационные процессы. Химический сдвиг. Шкала химических сдвигов.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Форма сигнала ЯМР и уширение линии.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Принцип действия спектрометра ЯМР и его основные узлы.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Спин-спиновое расщепление и СТС в спектрах ЯМР.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lastRenderedPageBreak/>
        <w:t xml:space="preserve">Физико-химические основы </w:t>
      </w:r>
      <w:proofErr w:type="spellStart"/>
      <w:r>
        <w:t>хроматографического</w:t>
      </w:r>
      <w:proofErr w:type="spellEnd"/>
      <w:r>
        <w:t xml:space="preserve"> процесса. Классиф</w:t>
      </w:r>
      <w:r>
        <w:t>и</w:t>
      </w:r>
      <w:r>
        <w:t>кация методов хроматографии.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Варианты газовой хроматографии. Блок-схема прибора.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>Теории равновесной хроматографии и эквивалентных теоретических т</w:t>
      </w:r>
      <w:r>
        <w:t>а</w:t>
      </w:r>
      <w:r>
        <w:t>релок.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>Диффузионно-массообменная теория хроматографии. Селективность и критерии разделения.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proofErr w:type="spellStart"/>
      <w:r>
        <w:rPr>
          <w:sz w:val="28"/>
        </w:rPr>
        <w:t>Элюционные</w:t>
      </w:r>
      <w:proofErr w:type="spellEnd"/>
      <w:r>
        <w:rPr>
          <w:sz w:val="28"/>
        </w:rPr>
        <w:t xml:space="preserve"> характеристики </w:t>
      </w:r>
      <w:proofErr w:type="spellStart"/>
      <w:r>
        <w:rPr>
          <w:sz w:val="28"/>
        </w:rPr>
        <w:t>хроматографических</w:t>
      </w:r>
      <w:proofErr w:type="spellEnd"/>
      <w:r>
        <w:rPr>
          <w:sz w:val="28"/>
        </w:rPr>
        <w:t xml:space="preserve"> пиков.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 xml:space="preserve">Влияние температуры на </w:t>
      </w:r>
      <w:proofErr w:type="spellStart"/>
      <w:r>
        <w:rPr>
          <w:sz w:val="28"/>
        </w:rPr>
        <w:t>хроматографический</w:t>
      </w:r>
      <w:proofErr w:type="spellEnd"/>
      <w:r>
        <w:rPr>
          <w:sz w:val="28"/>
        </w:rPr>
        <w:t xml:space="preserve"> процесс.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Виды детекторов в газовой хроматографии.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 xml:space="preserve">Качественный и количественный </w:t>
      </w:r>
      <w:proofErr w:type="spellStart"/>
      <w:r>
        <w:rPr>
          <w:sz w:val="28"/>
        </w:rPr>
        <w:t>хроматографический</w:t>
      </w:r>
      <w:proofErr w:type="spellEnd"/>
      <w:r>
        <w:rPr>
          <w:sz w:val="28"/>
        </w:rPr>
        <w:t xml:space="preserve"> анализ.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Принцип действия масс-спектрометра. Основные характеристики.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 xml:space="preserve">Блок-схема масс-спектрометра с  </w:t>
      </w:r>
      <w:proofErr w:type="gramStart"/>
      <w:r>
        <w:t>магнитным</w:t>
      </w:r>
      <w:proofErr w:type="gramEnd"/>
      <w:r>
        <w:t xml:space="preserve"> масс-анализатором. О</w:t>
      </w:r>
      <w:r>
        <w:t>с</w:t>
      </w:r>
      <w:r>
        <w:t>новное уравнение масс-спектрометра.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Виды масс-анализаторов.</w:t>
      </w:r>
    </w:p>
    <w:p w:rsidR="009A05B5" w:rsidRDefault="009A05B5" w:rsidP="009A05B5">
      <w:pPr>
        <w:pStyle w:val="a3"/>
        <w:numPr>
          <w:ilvl w:val="0"/>
          <w:numId w:val="1"/>
        </w:numPr>
        <w:ind w:hanging="585"/>
      </w:pPr>
      <w:r>
        <w:t>Методы регистрац</w:t>
      </w:r>
      <w:proofErr w:type="gramStart"/>
      <w:r>
        <w:t>ии ио</w:t>
      </w:r>
      <w:proofErr w:type="gramEnd"/>
      <w:r>
        <w:t>нных токов. Представление масс-спектров.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Методы введения проб в масс-спектрометр. Сочетание ГХ/МС.</w:t>
      </w:r>
    </w:p>
    <w:p w:rsidR="009A05B5" w:rsidRDefault="009A05B5" w:rsidP="009A05B5">
      <w:pPr>
        <w:numPr>
          <w:ilvl w:val="0"/>
          <w:numId w:val="1"/>
        </w:numPr>
        <w:ind w:hanging="585"/>
        <w:rPr>
          <w:sz w:val="28"/>
        </w:rPr>
      </w:pPr>
      <w:r>
        <w:rPr>
          <w:sz w:val="28"/>
        </w:rPr>
        <w:t>Ионизация электронным ударом. Молекулярные ионы.</w:t>
      </w:r>
    </w:p>
    <w:p w:rsidR="009A05B5" w:rsidRDefault="009A05B5" w:rsidP="009A05B5">
      <w:pPr>
        <w:pStyle w:val="3"/>
        <w:numPr>
          <w:ilvl w:val="0"/>
          <w:numId w:val="1"/>
        </w:numPr>
        <w:ind w:hanging="585"/>
        <w:rPr>
          <w:u w:val="none"/>
        </w:rPr>
      </w:pPr>
      <w:r>
        <w:rPr>
          <w:u w:val="none"/>
        </w:rPr>
        <w:t xml:space="preserve">Виды ионов в масс-спектрометрии. Осколочные, метастабильные, </w:t>
      </w:r>
      <w:proofErr w:type="spellStart"/>
      <w:r>
        <w:rPr>
          <w:u w:val="none"/>
        </w:rPr>
        <w:t>пер</w:t>
      </w:r>
      <w:r>
        <w:rPr>
          <w:u w:val="none"/>
        </w:rPr>
        <w:t>е</w:t>
      </w:r>
      <w:r>
        <w:rPr>
          <w:u w:val="none"/>
        </w:rPr>
        <w:t>группировочные</w:t>
      </w:r>
      <w:proofErr w:type="spellEnd"/>
      <w:r>
        <w:rPr>
          <w:u w:val="none"/>
        </w:rPr>
        <w:t>, многозарядные и отрицательные ионы.</w:t>
      </w:r>
    </w:p>
    <w:p w:rsidR="009A05B5" w:rsidRDefault="009A05B5" w:rsidP="009A05B5">
      <w:pPr>
        <w:pStyle w:val="a3"/>
        <w:numPr>
          <w:ilvl w:val="0"/>
          <w:numId w:val="1"/>
        </w:numPr>
        <w:ind w:hanging="585"/>
      </w:pPr>
      <w:r>
        <w:t xml:space="preserve">Ионизация полем. </w:t>
      </w:r>
      <w:proofErr w:type="spellStart"/>
      <w:r>
        <w:t>Хемиионизация</w:t>
      </w:r>
      <w:proofErr w:type="spellEnd"/>
      <w:r>
        <w:t>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>Распознавание молекулярных ионов и определение молекулярной фо</w:t>
      </w:r>
      <w:r>
        <w:t>р</w:t>
      </w:r>
      <w:r>
        <w:t>му</w:t>
      </w:r>
      <w:r>
        <w:softHyphen/>
        <w:t>лы вещества.</w:t>
      </w:r>
    </w:p>
    <w:p w:rsidR="009A05B5" w:rsidRDefault="009A05B5" w:rsidP="009A05B5">
      <w:pPr>
        <w:numPr>
          <w:ilvl w:val="0"/>
          <w:numId w:val="1"/>
        </w:numPr>
        <w:ind w:hanging="585"/>
        <w:jc w:val="both"/>
        <w:rPr>
          <w:sz w:val="28"/>
        </w:rPr>
      </w:pPr>
      <w:r>
        <w:rPr>
          <w:sz w:val="28"/>
        </w:rPr>
        <w:t>Использование изотопных ионов для определения молекулярной фо</w:t>
      </w:r>
      <w:r>
        <w:rPr>
          <w:sz w:val="28"/>
        </w:rPr>
        <w:t>р</w:t>
      </w:r>
      <w:r>
        <w:rPr>
          <w:sz w:val="28"/>
        </w:rPr>
        <w:t>мулы вещества.</w:t>
      </w:r>
    </w:p>
    <w:p w:rsidR="009A05B5" w:rsidRDefault="009A05B5" w:rsidP="009A05B5">
      <w:pPr>
        <w:pStyle w:val="a5"/>
        <w:numPr>
          <w:ilvl w:val="0"/>
          <w:numId w:val="1"/>
        </w:numPr>
        <w:tabs>
          <w:tab w:val="left" w:pos="1560"/>
        </w:tabs>
        <w:ind w:hanging="585"/>
        <w:jc w:val="both"/>
      </w:pPr>
      <w:r>
        <w:t xml:space="preserve">Идентификация соединений с использованием осколочных и </w:t>
      </w:r>
      <w:proofErr w:type="spellStart"/>
      <w:r>
        <w:t>перегру</w:t>
      </w:r>
      <w:r>
        <w:t>п</w:t>
      </w:r>
      <w:r>
        <w:t>пировочных</w:t>
      </w:r>
      <w:proofErr w:type="spellEnd"/>
      <w:r>
        <w:t xml:space="preserve"> ионов.</w:t>
      </w:r>
    </w:p>
    <w:p w:rsidR="009A05B5" w:rsidRDefault="009A05B5" w:rsidP="009A05B5">
      <w:pPr>
        <w:numPr>
          <w:ilvl w:val="0"/>
          <w:numId w:val="1"/>
        </w:numPr>
        <w:ind w:hanging="585"/>
        <w:jc w:val="both"/>
        <w:rPr>
          <w:sz w:val="28"/>
        </w:rPr>
      </w:pPr>
      <w:r>
        <w:rPr>
          <w:sz w:val="28"/>
        </w:rPr>
        <w:t>Количественный анализ на масс-спектрометре.</w:t>
      </w:r>
    </w:p>
    <w:p w:rsidR="000F5BC8" w:rsidRDefault="009A05B5">
      <w:bookmarkStart w:id="0" w:name="_GoBack"/>
      <w:bookmarkEnd w:id="0"/>
    </w:p>
    <w:sectPr w:rsidR="000F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87A43"/>
    <w:multiLevelType w:val="singleLevel"/>
    <w:tmpl w:val="F78C638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B5"/>
    <w:rsid w:val="009A05B5"/>
    <w:rsid w:val="00AD2F9F"/>
    <w:rsid w:val="00E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05B5"/>
    <w:pPr>
      <w:keepNext/>
      <w:tabs>
        <w:tab w:val="left" w:pos="567"/>
      </w:tabs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05B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A05B5"/>
    <w:pPr>
      <w:autoSpaceDE w:val="0"/>
      <w:autoSpaceDN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05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9A05B5"/>
    <w:pPr>
      <w:autoSpaceDE w:val="0"/>
      <w:autoSpaceDN w:val="0"/>
      <w:ind w:left="2127" w:hanging="2127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A05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9A05B5"/>
    <w:rPr>
      <w:sz w:val="28"/>
      <w:u w:val="single"/>
    </w:rPr>
  </w:style>
  <w:style w:type="character" w:customStyle="1" w:styleId="30">
    <w:name w:val="Основной текст 3 Знак"/>
    <w:basedOn w:val="a0"/>
    <w:link w:val="3"/>
    <w:rsid w:val="009A05B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05B5"/>
    <w:pPr>
      <w:keepNext/>
      <w:tabs>
        <w:tab w:val="left" w:pos="567"/>
      </w:tabs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05B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A05B5"/>
    <w:pPr>
      <w:autoSpaceDE w:val="0"/>
      <w:autoSpaceDN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A05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9A05B5"/>
    <w:pPr>
      <w:autoSpaceDE w:val="0"/>
      <w:autoSpaceDN w:val="0"/>
      <w:ind w:left="2127" w:hanging="2127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9A05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9A05B5"/>
    <w:rPr>
      <w:sz w:val="28"/>
      <w:u w:val="single"/>
    </w:rPr>
  </w:style>
  <w:style w:type="character" w:customStyle="1" w:styleId="30">
    <w:name w:val="Основной текст 3 Знак"/>
    <w:basedOn w:val="a0"/>
    <w:link w:val="3"/>
    <w:rsid w:val="009A05B5"/>
    <w:rPr>
      <w:rFonts w:ascii="Times New Roman" w:eastAsia="Times New Roman" w:hAnsi="Times New Roman" w:cs="Times New Roman"/>
      <w:sz w:val="28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Umbetkaliev Kuanysh</dc:creator>
  <cp:keywords/>
  <dc:description/>
  <cp:lastModifiedBy>Umbetkaliev Kuanysh</cp:lastModifiedBy>
  <cp:revision>1</cp:revision>
  <dcterms:created xsi:type="dcterms:W3CDTF">2012-10-03T09:34:00Z</dcterms:created>
  <dcterms:modified xsi:type="dcterms:W3CDTF">2012-10-03T09:34:00Z</dcterms:modified>
</cp:coreProperties>
</file>